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5357A" w:rsidRPr="006C274D" w14:paraId="613855CD" w14:textId="77777777" w:rsidTr="00764833">
        <w:tc>
          <w:tcPr>
            <w:tcW w:w="4675" w:type="dxa"/>
          </w:tcPr>
          <w:p w14:paraId="7F3E96D7" w14:textId="77777777" w:rsidR="0035357A" w:rsidRPr="000D22F4" w:rsidRDefault="00643413" w:rsidP="00764833">
            <w:pPr>
              <w:suppressAutoHyphens/>
              <w:spacing w:line="240" w:lineRule="atLeast"/>
              <w:rPr>
                <w:rFonts w:ascii="Arial" w:hAnsi="Arial" w:cs="Arial"/>
                <w:b/>
                <w:bCs/>
                <w:spacing w:val="-3"/>
              </w:rPr>
            </w:pPr>
            <w:r w:rsidRPr="000D22F4">
              <w:rPr>
                <w:rFonts w:ascii="Arial" w:hAnsi="Arial" w:cs="Arial"/>
                <w:b/>
                <w:bCs/>
                <w:spacing w:val="-3"/>
              </w:rPr>
              <w:t xml:space="preserve"> </w:t>
            </w:r>
          </w:p>
        </w:tc>
        <w:tc>
          <w:tcPr>
            <w:tcW w:w="4675" w:type="dxa"/>
            <w:vMerge w:val="restart"/>
          </w:tcPr>
          <w:p w14:paraId="1F2DB7A9" w14:textId="77777777" w:rsidR="0035357A" w:rsidRPr="000D22F4" w:rsidRDefault="0035357A" w:rsidP="00764833">
            <w:pPr>
              <w:suppressAutoHyphens/>
              <w:spacing w:line="240" w:lineRule="atLeast"/>
              <w:rPr>
                <w:rFonts w:ascii="Arial" w:hAnsi="Arial" w:cs="Arial"/>
                <w:bCs/>
                <w:spacing w:val="-3"/>
                <w:sz w:val="96"/>
                <w:szCs w:val="96"/>
              </w:rPr>
            </w:pPr>
            <w:r w:rsidRPr="000D22F4">
              <w:rPr>
                <w:rFonts w:ascii="Arial" w:hAnsi="Arial" w:cs="Arial"/>
                <w:bCs/>
                <w:spacing w:val="-3"/>
                <w:sz w:val="96"/>
                <w:szCs w:val="96"/>
              </w:rPr>
              <w:t>DRAFT</w:t>
            </w:r>
          </w:p>
          <w:p w14:paraId="37EB841E" w14:textId="77777777" w:rsidR="0035357A" w:rsidRPr="000D22F4" w:rsidRDefault="0035357A" w:rsidP="00764833">
            <w:pPr>
              <w:suppressAutoHyphens/>
              <w:spacing w:line="240" w:lineRule="atLeast"/>
              <w:jc w:val="center"/>
              <w:rPr>
                <w:rFonts w:ascii="Arial" w:hAnsi="Arial" w:cs="Arial"/>
                <w:b/>
                <w:bCs/>
                <w:spacing w:val="-3"/>
              </w:rPr>
            </w:pPr>
          </w:p>
        </w:tc>
      </w:tr>
      <w:tr w:rsidR="0035357A" w:rsidRPr="006C274D" w14:paraId="7650CBA5" w14:textId="77777777" w:rsidTr="00764833">
        <w:tc>
          <w:tcPr>
            <w:tcW w:w="4675" w:type="dxa"/>
          </w:tcPr>
          <w:p w14:paraId="494090AF" w14:textId="77777777" w:rsidR="0035357A" w:rsidRPr="000D22F4" w:rsidRDefault="0035357A" w:rsidP="00764833">
            <w:pPr>
              <w:suppressAutoHyphens/>
              <w:spacing w:line="240" w:lineRule="atLeast"/>
              <w:rPr>
                <w:rFonts w:ascii="Arial" w:hAnsi="Arial" w:cs="Arial"/>
                <w:b/>
                <w:bCs/>
                <w:spacing w:val="-3"/>
                <w:sz w:val="24"/>
                <w:szCs w:val="24"/>
              </w:rPr>
            </w:pPr>
            <w:r w:rsidRPr="000D22F4">
              <w:rPr>
                <w:rFonts w:ascii="Arial" w:hAnsi="Arial" w:cs="Arial"/>
                <w:b/>
                <w:bCs/>
                <w:spacing w:val="-3"/>
                <w:sz w:val="24"/>
                <w:szCs w:val="24"/>
              </w:rPr>
              <w:t>Draft Amendment</w:t>
            </w:r>
          </w:p>
          <w:p w14:paraId="4CFB630A" w14:textId="452214C9" w:rsidR="0035357A" w:rsidRPr="000D22F4" w:rsidRDefault="008E77BA" w:rsidP="00764833">
            <w:pPr>
              <w:suppressAutoHyphens/>
              <w:spacing w:line="240" w:lineRule="atLeast"/>
              <w:rPr>
                <w:rFonts w:ascii="Arial" w:hAnsi="Arial" w:cs="Arial"/>
                <w:b/>
                <w:bCs/>
                <w:spacing w:val="-3"/>
              </w:rPr>
            </w:pPr>
            <w:r>
              <w:rPr>
                <w:rFonts w:ascii="Arial" w:hAnsi="Arial" w:cs="Arial"/>
                <w:b/>
                <w:bCs/>
                <w:spacing w:val="-3"/>
                <w:sz w:val="24"/>
                <w:szCs w:val="24"/>
              </w:rPr>
              <w:fldChar w:fldCharType="begin"/>
            </w:r>
            <w:r>
              <w:rPr>
                <w:rFonts w:ascii="Arial" w:hAnsi="Arial" w:cs="Arial"/>
                <w:b/>
                <w:bCs/>
                <w:spacing w:val="-3"/>
                <w:sz w:val="24"/>
                <w:szCs w:val="24"/>
              </w:rPr>
              <w:instrText xml:space="preserve"> DATE \@ "MMMM d, yyyy" </w:instrText>
            </w:r>
            <w:r>
              <w:rPr>
                <w:rFonts w:ascii="Arial" w:hAnsi="Arial" w:cs="Arial"/>
                <w:b/>
                <w:bCs/>
                <w:spacing w:val="-3"/>
                <w:sz w:val="24"/>
                <w:szCs w:val="24"/>
              </w:rPr>
              <w:fldChar w:fldCharType="separate"/>
            </w:r>
            <w:r w:rsidR="0035400D">
              <w:rPr>
                <w:rFonts w:ascii="Arial" w:hAnsi="Arial" w:cs="Arial"/>
                <w:b/>
                <w:bCs/>
                <w:noProof/>
                <w:spacing w:val="-3"/>
                <w:sz w:val="24"/>
                <w:szCs w:val="24"/>
              </w:rPr>
              <w:t>August 27, 2024</w:t>
            </w:r>
            <w:r>
              <w:rPr>
                <w:rFonts w:ascii="Arial" w:hAnsi="Arial" w:cs="Arial"/>
                <w:b/>
                <w:bCs/>
                <w:spacing w:val="-3"/>
                <w:sz w:val="24"/>
                <w:szCs w:val="24"/>
              </w:rPr>
              <w:fldChar w:fldCharType="end"/>
            </w:r>
          </w:p>
        </w:tc>
        <w:tc>
          <w:tcPr>
            <w:tcW w:w="4675" w:type="dxa"/>
            <w:vMerge/>
          </w:tcPr>
          <w:p w14:paraId="63134BD3" w14:textId="77777777" w:rsidR="0035357A" w:rsidRPr="000D22F4" w:rsidRDefault="0035357A" w:rsidP="00764833">
            <w:pPr>
              <w:suppressAutoHyphens/>
              <w:spacing w:line="240" w:lineRule="atLeast"/>
              <w:rPr>
                <w:rFonts w:ascii="Arial" w:hAnsi="Arial" w:cs="Arial"/>
                <w:b/>
                <w:bCs/>
                <w:spacing w:val="-3"/>
              </w:rPr>
            </w:pPr>
          </w:p>
        </w:tc>
      </w:tr>
    </w:tbl>
    <w:p w14:paraId="14A16BA9" w14:textId="77777777" w:rsidR="0035357A" w:rsidRDefault="0035357A" w:rsidP="0035357A">
      <w:pPr>
        <w:autoSpaceDE w:val="0"/>
        <w:autoSpaceDN w:val="0"/>
        <w:adjustRightInd w:val="0"/>
        <w:spacing w:after="0" w:line="240" w:lineRule="auto"/>
        <w:rPr>
          <w:rFonts w:ascii="Times New Roman" w:hAnsi="Times New Roman" w:cs="Times New Roman"/>
          <w:bCs/>
          <w:sz w:val="24"/>
          <w:szCs w:val="24"/>
        </w:rPr>
      </w:pPr>
    </w:p>
    <w:p w14:paraId="0FABE978" w14:textId="77777777" w:rsidR="005C3FBA" w:rsidRDefault="005C3FBA" w:rsidP="0035357A">
      <w:pPr>
        <w:autoSpaceDE w:val="0"/>
        <w:autoSpaceDN w:val="0"/>
        <w:adjustRightInd w:val="0"/>
        <w:spacing w:after="0" w:line="240" w:lineRule="auto"/>
        <w:rPr>
          <w:rFonts w:ascii="Times New Roman" w:hAnsi="Times New Roman" w:cs="Times New Roman"/>
          <w:b/>
          <w:bCs/>
          <w:spacing w:val="-3"/>
          <w:sz w:val="24"/>
          <w:szCs w:val="24"/>
        </w:rPr>
        <w:sectPr w:rsidR="005C3FB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14:paraId="5128677A" w14:textId="77777777" w:rsidR="00365F82" w:rsidRPr="0035400D" w:rsidRDefault="00365F82" w:rsidP="00365F82">
      <w:pPr>
        <w:autoSpaceDE w:val="0"/>
        <w:autoSpaceDN w:val="0"/>
        <w:adjustRightInd w:val="0"/>
        <w:spacing w:after="0" w:line="240" w:lineRule="auto"/>
        <w:rPr>
          <w:rFonts w:cstheme="minorHAnsi"/>
          <w:b/>
          <w:bCs/>
          <w:sz w:val="24"/>
          <w:szCs w:val="24"/>
        </w:rPr>
      </w:pPr>
      <w:r w:rsidRPr="0035400D">
        <w:rPr>
          <w:rFonts w:cstheme="minorHAnsi"/>
          <w:b/>
          <w:bCs/>
          <w:sz w:val="24"/>
          <w:szCs w:val="24"/>
        </w:rPr>
        <w:t>R884.  Tax Commission, Property Tax.</w:t>
      </w:r>
    </w:p>
    <w:p w14:paraId="161686B8" w14:textId="77777777" w:rsidR="00365F82" w:rsidRPr="0035400D" w:rsidRDefault="00365F82" w:rsidP="00365F82">
      <w:pPr>
        <w:autoSpaceDE w:val="0"/>
        <w:autoSpaceDN w:val="0"/>
        <w:adjustRightInd w:val="0"/>
        <w:spacing w:after="0" w:line="240" w:lineRule="auto"/>
        <w:rPr>
          <w:rFonts w:cstheme="minorHAnsi"/>
          <w:b/>
          <w:bCs/>
          <w:sz w:val="24"/>
          <w:szCs w:val="24"/>
        </w:rPr>
      </w:pPr>
      <w:r w:rsidRPr="0035400D">
        <w:rPr>
          <w:rFonts w:cstheme="minorHAnsi"/>
          <w:b/>
          <w:bCs/>
          <w:sz w:val="24"/>
          <w:szCs w:val="24"/>
        </w:rPr>
        <w:t>R884-24P.  Property Tax.</w:t>
      </w:r>
    </w:p>
    <w:p w14:paraId="6433C16D" w14:textId="14E44A74" w:rsidR="008E77BA" w:rsidRPr="0035400D" w:rsidRDefault="008E77BA" w:rsidP="008E77BA">
      <w:pPr>
        <w:autoSpaceDE w:val="0"/>
        <w:autoSpaceDN w:val="0"/>
        <w:adjustRightInd w:val="0"/>
        <w:spacing w:after="0" w:line="240" w:lineRule="auto"/>
        <w:rPr>
          <w:rFonts w:cstheme="minorHAnsi"/>
          <w:b/>
          <w:bCs/>
          <w:strike/>
          <w:sz w:val="24"/>
          <w:szCs w:val="24"/>
        </w:rPr>
      </w:pPr>
      <w:r w:rsidRPr="0035400D">
        <w:rPr>
          <w:rFonts w:cstheme="minorHAnsi"/>
          <w:b/>
          <w:bCs/>
          <w:sz w:val="24"/>
          <w:szCs w:val="24"/>
        </w:rPr>
        <w:t>[</w:t>
      </w:r>
      <w:r w:rsidRPr="0035400D">
        <w:rPr>
          <w:rFonts w:cstheme="minorHAnsi"/>
          <w:b/>
          <w:bCs/>
          <w:strike/>
          <w:sz w:val="24"/>
          <w:szCs w:val="24"/>
        </w:rPr>
        <w:t>R884-24P-28.  Reporting Requirements For Leased or Rented Personal Property Pursuant to Utah Code Ann. Section 59-2-306.</w:t>
      </w:r>
    </w:p>
    <w:p w14:paraId="30905368" w14:textId="77777777" w:rsidR="008E77BA" w:rsidRPr="0035400D" w:rsidRDefault="008E77BA" w:rsidP="008E77BA">
      <w:pPr>
        <w:autoSpaceDE w:val="0"/>
        <w:autoSpaceDN w:val="0"/>
        <w:adjustRightInd w:val="0"/>
        <w:spacing w:after="0" w:line="240" w:lineRule="auto"/>
        <w:rPr>
          <w:rFonts w:cstheme="minorHAnsi"/>
          <w:bCs/>
          <w:strike/>
          <w:sz w:val="24"/>
          <w:szCs w:val="24"/>
        </w:rPr>
      </w:pPr>
      <w:r w:rsidRPr="0035400D">
        <w:rPr>
          <w:rFonts w:cstheme="minorHAnsi"/>
          <w:bCs/>
          <w:sz w:val="24"/>
          <w:szCs w:val="24"/>
        </w:rPr>
        <w:tab/>
      </w:r>
      <w:r w:rsidRPr="0035400D">
        <w:rPr>
          <w:rFonts w:cstheme="minorHAnsi"/>
          <w:bCs/>
          <w:strike/>
          <w:sz w:val="24"/>
          <w:szCs w:val="24"/>
        </w:rPr>
        <w:t>(1)  The procedure set forth herein is required in reporting heavy equipment leased or rented during the tax year.</w:t>
      </w:r>
    </w:p>
    <w:p w14:paraId="2BDC8A55" w14:textId="77777777" w:rsidR="008E77BA" w:rsidRPr="0035400D" w:rsidRDefault="008E77BA" w:rsidP="008E77BA">
      <w:pPr>
        <w:autoSpaceDE w:val="0"/>
        <w:autoSpaceDN w:val="0"/>
        <w:adjustRightInd w:val="0"/>
        <w:spacing w:after="0" w:line="240" w:lineRule="auto"/>
        <w:rPr>
          <w:rFonts w:cstheme="minorHAnsi"/>
          <w:bCs/>
          <w:strike/>
          <w:sz w:val="24"/>
          <w:szCs w:val="24"/>
        </w:rPr>
      </w:pPr>
      <w:r w:rsidRPr="0035400D">
        <w:rPr>
          <w:rFonts w:cstheme="minorHAnsi"/>
          <w:bCs/>
          <w:sz w:val="24"/>
          <w:szCs w:val="24"/>
        </w:rPr>
        <w:tab/>
      </w:r>
      <w:r w:rsidRPr="0035400D">
        <w:rPr>
          <w:rFonts w:cstheme="minorHAnsi"/>
          <w:bCs/>
          <w:strike/>
          <w:sz w:val="24"/>
          <w:szCs w:val="24"/>
        </w:rPr>
        <w:t>(2)  The owner of leased or rented heavy equipment shall file annual reports with the commission, either on forms provided by the commission or electronically, for the periods January 1 through June 30, and July 1 through December 31 of each year. The reports shall contain the following information:</w:t>
      </w:r>
    </w:p>
    <w:p w14:paraId="46B3B8A5" w14:textId="77777777" w:rsidR="008E77BA" w:rsidRPr="0035400D" w:rsidRDefault="008E77BA" w:rsidP="008E77BA">
      <w:pPr>
        <w:autoSpaceDE w:val="0"/>
        <w:autoSpaceDN w:val="0"/>
        <w:adjustRightInd w:val="0"/>
        <w:spacing w:after="0" w:line="240" w:lineRule="auto"/>
        <w:rPr>
          <w:rFonts w:cstheme="minorHAnsi"/>
          <w:bCs/>
          <w:strike/>
          <w:sz w:val="24"/>
          <w:szCs w:val="24"/>
        </w:rPr>
      </w:pPr>
      <w:r w:rsidRPr="0035400D">
        <w:rPr>
          <w:rFonts w:cstheme="minorHAnsi"/>
          <w:bCs/>
          <w:sz w:val="24"/>
          <w:szCs w:val="24"/>
        </w:rPr>
        <w:tab/>
      </w:r>
      <w:r w:rsidRPr="0035400D">
        <w:rPr>
          <w:rFonts w:cstheme="minorHAnsi"/>
          <w:bCs/>
          <w:strike/>
          <w:sz w:val="24"/>
          <w:szCs w:val="24"/>
        </w:rPr>
        <w:t>(a)  a description of the leased or rented equipment;</w:t>
      </w:r>
    </w:p>
    <w:p w14:paraId="77BF5CA4" w14:textId="77777777" w:rsidR="008E77BA" w:rsidRPr="0035400D" w:rsidRDefault="008E77BA" w:rsidP="008E77BA">
      <w:pPr>
        <w:autoSpaceDE w:val="0"/>
        <w:autoSpaceDN w:val="0"/>
        <w:adjustRightInd w:val="0"/>
        <w:spacing w:after="0" w:line="240" w:lineRule="auto"/>
        <w:rPr>
          <w:rFonts w:cstheme="minorHAnsi"/>
          <w:bCs/>
          <w:strike/>
          <w:sz w:val="24"/>
          <w:szCs w:val="24"/>
        </w:rPr>
      </w:pPr>
      <w:r w:rsidRPr="0035400D">
        <w:rPr>
          <w:rFonts w:cstheme="minorHAnsi"/>
          <w:bCs/>
          <w:sz w:val="24"/>
          <w:szCs w:val="24"/>
        </w:rPr>
        <w:tab/>
      </w:r>
      <w:r w:rsidRPr="0035400D">
        <w:rPr>
          <w:rFonts w:cstheme="minorHAnsi"/>
          <w:bCs/>
          <w:strike/>
          <w:sz w:val="24"/>
          <w:szCs w:val="24"/>
        </w:rPr>
        <w:t>(b)  the year of manufacture and acquisition cost;</w:t>
      </w:r>
    </w:p>
    <w:p w14:paraId="03520375" w14:textId="77777777" w:rsidR="008E77BA" w:rsidRPr="0035400D" w:rsidRDefault="008E77BA" w:rsidP="008E77BA">
      <w:pPr>
        <w:autoSpaceDE w:val="0"/>
        <w:autoSpaceDN w:val="0"/>
        <w:adjustRightInd w:val="0"/>
        <w:spacing w:after="0" w:line="240" w:lineRule="auto"/>
        <w:rPr>
          <w:rFonts w:cstheme="minorHAnsi"/>
          <w:bCs/>
          <w:strike/>
          <w:sz w:val="24"/>
          <w:szCs w:val="24"/>
        </w:rPr>
      </w:pPr>
      <w:r w:rsidRPr="0035400D">
        <w:rPr>
          <w:rFonts w:cstheme="minorHAnsi"/>
          <w:bCs/>
          <w:sz w:val="24"/>
          <w:szCs w:val="24"/>
        </w:rPr>
        <w:tab/>
      </w:r>
      <w:r w:rsidRPr="0035400D">
        <w:rPr>
          <w:rFonts w:cstheme="minorHAnsi"/>
          <w:bCs/>
          <w:strike/>
          <w:sz w:val="24"/>
          <w:szCs w:val="24"/>
        </w:rPr>
        <w:t>(c)  a listing, by month, of the counties where the equipment has situs; and</w:t>
      </w:r>
    </w:p>
    <w:p w14:paraId="7C5B46FD" w14:textId="77777777" w:rsidR="008E77BA" w:rsidRPr="0035400D" w:rsidRDefault="008E77BA" w:rsidP="008E77BA">
      <w:pPr>
        <w:autoSpaceDE w:val="0"/>
        <w:autoSpaceDN w:val="0"/>
        <w:adjustRightInd w:val="0"/>
        <w:spacing w:after="0" w:line="240" w:lineRule="auto"/>
        <w:rPr>
          <w:rFonts w:cstheme="minorHAnsi"/>
          <w:bCs/>
          <w:strike/>
          <w:sz w:val="24"/>
          <w:szCs w:val="24"/>
        </w:rPr>
      </w:pPr>
      <w:r w:rsidRPr="0035400D">
        <w:rPr>
          <w:rFonts w:cstheme="minorHAnsi"/>
          <w:bCs/>
          <w:sz w:val="24"/>
          <w:szCs w:val="24"/>
        </w:rPr>
        <w:tab/>
      </w:r>
      <w:r w:rsidRPr="0035400D">
        <w:rPr>
          <w:rFonts w:cstheme="minorHAnsi"/>
          <w:bCs/>
          <w:strike/>
          <w:sz w:val="24"/>
          <w:szCs w:val="24"/>
        </w:rPr>
        <w:t>(d)  any other information required.</w:t>
      </w:r>
    </w:p>
    <w:p w14:paraId="54BF4D8D" w14:textId="77777777" w:rsidR="008E77BA" w:rsidRPr="0035400D" w:rsidRDefault="008E77BA" w:rsidP="008E77BA">
      <w:pPr>
        <w:autoSpaceDE w:val="0"/>
        <w:autoSpaceDN w:val="0"/>
        <w:adjustRightInd w:val="0"/>
        <w:spacing w:after="0" w:line="240" w:lineRule="auto"/>
        <w:rPr>
          <w:rFonts w:cstheme="minorHAnsi"/>
          <w:bCs/>
          <w:strike/>
          <w:sz w:val="24"/>
          <w:szCs w:val="24"/>
        </w:rPr>
      </w:pPr>
      <w:r w:rsidRPr="0035400D">
        <w:rPr>
          <w:rFonts w:cstheme="minorHAnsi"/>
          <w:bCs/>
          <w:sz w:val="24"/>
          <w:szCs w:val="24"/>
        </w:rPr>
        <w:tab/>
      </w:r>
      <w:r w:rsidRPr="0035400D">
        <w:rPr>
          <w:rFonts w:cstheme="minorHAnsi"/>
          <w:bCs/>
          <w:strike/>
          <w:sz w:val="24"/>
          <w:szCs w:val="24"/>
        </w:rPr>
        <w:t>(3)  For purposes of this rule, situs is established when leased or rented equipment is kept in an area for thirty days.  Once situs is established, any portion of thirty days during which that equipment stays in that area shall be counted as a full month of situs.  In no case may situs exceed twelve months for any year.</w:t>
      </w:r>
    </w:p>
    <w:p w14:paraId="4A0EEB85" w14:textId="77777777" w:rsidR="008E77BA" w:rsidRPr="0035400D" w:rsidRDefault="008E77BA" w:rsidP="008E77BA">
      <w:pPr>
        <w:autoSpaceDE w:val="0"/>
        <w:autoSpaceDN w:val="0"/>
        <w:adjustRightInd w:val="0"/>
        <w:spacing w:after="0" w:line="240" w:lineRule="auto"/>
        <w:rPr>
          <w:rFonts w:cstheme="minorHAnsi"/>
          <w:bCs/>
          <w:strike/>
          <w:sz w:val="24"/>
          <w:szCs w:val="24"/>
        </w:rPr>
      </w:pPr>
      <w:r w:rsidRPr="0035400D">
        <w:rPr>
          <w:rFonts w:cstheme="minorHAnsi"/>
          <w:bCs/>
          <w:sz w:val="24"/>
          <w:szCs w:val="24"/>
        </w:rPr>
        <w:tab/>
      </w:r>
      <w:r w:rsidRPr="0035400D">
        <w:rPr>
          <w:rFonts w:cstheme="minorHAnsi"/>
          <w:bCs/>
          <w:strike/>
          <w:sz w:val="24"/>
          <w:szCs w:val="24"/>
        </w:rPr>
        <w:t>(4)(a)  The completed report shall be submitted to the Property Tax Division of the commission within thirty days after each reporting period.</w:t>
      </w:r>
    </w:p>
    <w:p w14:paraId="2EB0EE72" w14:textId="268D5E2C" w:rsidR="00970E90" w:rsidRPr="0035400D" w:rsidRDefault="008E77BA" w:rsidP="008E77BA">
      <w:pPr>
        <w:autoSpaceDE w:val="0"/>
        <w:autoSpaceDN w:val="0"/>
        <w:adjustRightInd w:val="0"/>
        <w:spacing w:after="0" w:line="240" w:lineRule="auto"/>
        <w:rPr>
          <w:rFonts w:cstheme="minorHAnsi"/>
          <w:bCs/>
          <w:strike/>
          <w:sz w:val="24"/>
          <w:szCs w:val="24"/>
        </w:rPr>
      </w:pPr>
      <w:r w:rsidRPr="0035400D">
        <w:rPr>
          <w:rFonts w:cstheme="minorHAnsi"/>
          <w:bCs/>
          <w:sz w:val="24"/>
          <w:szCs w:val="24"/>
        </w:rPr>
        <w:tab/>
      </w:r>
      <w:r w:rsidRPr="0035400D">
        <w:rPr>
          <w:rFonts w:cstheme="minorHAnsi"/>
          <w:bCs/>
          <w:strike/>
          <w:sz w:val="24"/>
          <w:szCs w:val="24"/>
        </w:rPr>
        <w:t>(b)  Noncompliance will require accelerated reporting.</w:t>
      </w:r>
      <w:r w:rsidRPr="0035400D">
        <w:rPr>
          <w:rFonts w:cstheme="minorHAnsi"/>
          <w:bCs/>
          <w:sz w:val="24"/>
          <w:szCs w:val="24"/>
        </w:rPr>
        <w:t>]</w:t>
      </w:r>
      <w:bookmarkStart w:id="0" w:name="_GoBack"/>
      <w:bookmarkEnd w:id="0"/>
    </w:p>
    <w:sectPr w:rsidR="00970E90" w:rsidRPr="0035400D" w:rsidSect="008839AA">
      <w:type w:val="continuous"/>
      <w:pgSz w:w="12240" w:h="15840"/>
      <w:pgMar w:top="1440" w:right="1440" w:bottom="1440" w:left="1440" w:header="720" w:footer="720" w:gutter="0"/>
      <w:lnNumType w:countBy="1" w:restart="continuous"/>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C220509" w16cex:dateUtc="2024-06-28T18:04:00Z"/>
  <w16cex:commentExtensible w16cex:durableId="117A7BF0" w16cex:dateUtc="2024-06-28T18:04:00Z"/>
  <w16cex:commentExtensible w16cex:durableId="024CFE3D" w16cex:dateUtc="2024-06-28T19:34:00Z"/>
  <w16cex:commentExtensible w16cex:durableId="2EFCD795" w16cex:dateUtc="2024-06-28T17:56:00Z"/>
  <w16cex:commentExtensible w16cex:durableId="0568F3A8" w16cex:dateUtc="2024-06-28T17:55:00Z"/>
  <w16cex:commentExtensible w16cex:durableId="735D2811" w16cex:dateUtc="2024-06-28T17:58:00Z"/>
  <w16cex:commentExtensible w16cex:durableId="207E266C" w16cex:dateUtc="2024-06-28T18:00:00Z"/>
  <w16cex:commentExtensible w16cex:durableId="434E179B" w16cex:dateUtc="2024-06-28T18:01:00Z"/>
  <w16cex:commentExtensible w16cex:durableId="76460CE7" w16cex:dateUtc="2024-06-28T18:10:00Z"/>
  <w16cex:commentExtensible w16cex:durableId="0172A79F" w16cex:dateUtc="2024-06-28T18:12:00Z"/>
  <w16cex:commentExtensible w16cex:durableId="06BC5D52" w16cex:dateUtc="2024-06-28T18:28:00Z"/>
  <w16cex:commentExtensible w16cex:durableId="73E6E221" w16cex:dateUtc="2024-06-28T18:01:00Z"/>
  <w16cex:commentExtensible w16cex:durableId="3EE75EFF" w16cex:dateUtc="2024-06-28T18:16:00Z"/>
  <w16cex:commentExtensible w16cex:durableId="7D39C603" w16cex:dateUtc="2024-06-28T18:45:00Z"/>
  <w16cex:commentExtensible w16cex:durableId="5202AB78" w16cex:dateUtc="2024-06-28T18:01:00Z"/>
  <w16cex:commentExtensible w16cex:durableId="46381121" w16cex:dateUtc="2024-06-28T19:00:00Z"/>
  <w16cex:commentExtensible w16cex:durableId="4550AA94" w16cex:dateUtc="2024-06-28T18:02:00Z"/>
  <w16cex:commentExtensible w16cex:durableId="2EA7C110" w16cex:dateUtc="2024-06-28T18:02:00Z"/>
  <w16cex:commentExtensible w16cex:durableId="7FA15ACD" w16cex:dateUtc="2024-06-28T19:13:00Z"/>
  <w16cex:commentExtensible w16cex:durableId="5C69E340" w16cex:dateUtc="2024-06-28T18:02:00Z"/>
  <w16cex:commentExtensible w16cex:durableId="3A8A0383" w16cex:dateUtc="2024-06-28T19:17:00Z"/>
  <w16cex:commentExtensible w16cex:durableId="4AADF6E4" w16cex:dateUtc="2024-06-28T18:02:00Z"/>
  <w16cex:commentExtensible w16cex:durableId="6E269C26" w16cex:dateUtc="2024-06-28T19:19:00Z"/>
  <w16cex:commentExtensible w16cex:durableId="2C8324DB" w16cex:dateUtc="2024-06-28T19:19:00Z"/>
  <w16cex:commentExtensible w16cex:durableId="27E1DEFE" w16cex:dateUtc="2024-06-28T19:24:00Z"/>
  <w16cex:commentExtensible w16cex:durableId="1BF01D86" w16cex:dateUtc="2024-06-28T1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B59404" w16cid:durableId="088D0C6F"/>
  <w16cid:commentId w16cid:paraId="75F481A1" w16cid:durableId="0C220509"/>
  <w16cid:commentId w16cid:paraId="2187104C" w16cid:durableId="378BA4A1"/>
  <w16cid:commentId w16cid:paraId="5238B0D1" w16cid:durableId="117A7BF0"/>
  <w16cid:commentId w16cid:paraId="559E0667" w16cid:durableId="024CFE3D"/>
  <w16cid:commentId w16cid:paraId="00B8BB46" w16cid:durableId="2A2FA8DB"/>
  <w16cid:commentId w16cid:paraId="04B8C9E4" w16cid:durableId="6B8E68D0"/>
  <w16cid:commentId w16cid:paraId="4649B309" w16cid:durableId="2EFCD795"/>
  <w16cid:commentId w16cid:paraId="5214A435" w16cid:durableId="079A3FAB"/>
  <w16cid:commentId w16cid:paraId="1D41E02E" w16cid:durableId="0568F3A8"/>
  <w16cid:commentId w16cid:paraId="08032BE7" w16cid:durableId="3F36F60F"/>
  <w16cid:commentId w16cid:paraId="2B5414BF" w16cid:durableId="735D2811"/>
  <w16cid:commentId w16cid:paraId="09F4696F" w16cid:durableId="50B7AFC3"/>
  <w16cid:commentId w16cid:paraId="6C0AE65B" w16cid:durableId="207E266C"/>
  <w16cid:commentId w16cid:paraId="154BF949" w16cid:durableId="1ACCA016"/>
  <w16cid:commentId w16cid:paraId="25338A2F" w16cid:durableId="434E179B"/>
  <w16cid:commentId w16cid:paraId="5B7FE078" w16cid:durableId="3E5E967E"/>
  <w16cid:commentId w16cid:paraId="7460743E" w16cid:durableId="76460CE7"/>
  <w16cid:commentId w16cid:paraId="16EB555F" w16cid:durableId="0172A79F"/>
  <w16cid:commentId w16cid:paraId="46E3241F" w16cid:durableId="071298E2"/>
  <w16cid:commentId w16cid:paraId="68E25756" w16cid:durableId="06BC5D52"/>
  <w16cid:commentId w16cid:paraId="0A9A83D0" w16cid:durableId="548E42A7"/>
  <w16cid:commentId w16cid:paraId="3C797680" w16cid:durableId="73E6E221"/>
  <w16cid:commentId w16cid:paraId="297E3F61" w16cid:durableId="18EA260D"/>
  <w16cid:commentId w16cid:paraId="280DB72F" w16cid:durableId="3EE75EFF"/>
  <w16cid:commentId w16cid:paraId="0B1CAF89" w16cid:durableId="7D39C603"/>
  <w16cid:commentId w16cid:paraId="1A6ADBFB" w16cid:durableId="4DEB2DBA"/>
  <w16cid:commentId w16cid:paraId="61C2A1F9" w16cid:durableId="5202AB78"/>
  <w16cid:commentId w16cid:paraId="7604F361" w16cid:durableId="07BC3F4B"/>
  <w16cid:commentId w16cid:paraId="46901936" w16cid:durableId="25D53D6F"/>
  <w16cid:commentId w16cid:paraId="057A1D33" w16cid:durableId="1FCE168A"/>
  <w16cid:commentId w16cid:paraId="65B81624" w16cid:durableId="46381121"/>
  <w16cid:commentId w16cid:paraId="3DDB52BE" w16cid:durableId="61403724"/>
  <w16cid:commentId w16cid:paraId="148CDC25" w16cid:durableId="4550AA94"/>
  <w16cid:commentId w16cid:paraId="47D54D2A" w16cid:durableId="2A2FA8F8"/>
  <w16cid:commentId w16cid:paraId="20FC53A3" w16cid:durableId="464430F9"/>
  <w16cid:commentId w16cid:paraId="4934827B" w16cid:durableId="2CD2E043"/>
  <w16cid:commentId w16cid:paraId="5D09B0DF" w16cid:durableId="2A2FA8FB"/>
  <w16cid:commentId w16cid:paraId="652E2DED" w16cid:durableId="2A2FA8FC"/>
  <w16cid:commentId w16cid:paraId="2573B237" w16cid:durableId="362815B3"/>
  <w16cid:commentId w16cid:paraId="75FD97FE" w16cid:durableId="2EA7C110"/>
  <w16cid:commentId w16cid:paraId="276F7F35" w16cid:durableId="3DE00149"/>
  <w16cid:commentId w16cid:paraId="7B071CF5" w16cid:durableId="7FA15ACD"/>
  <w16cid:commentId w16cid:paraId="139336CA" w16cid:durableId="1EC3B397"/>
  <w16cid:commentId w16cid:paraId="3EE1D270" w16cid:durableId="0DD57DC4"/>
  <w16cid:commentId w16cid:paraId="4E2927F7" w16cid:durableId="5C69E340"/>
  <w16cid:commentId w16cid:paraId="1C739955" w16cid:durableId="6C04EE71"/>
  <w16cid:commentId w16cid:paraId="7C787764" w16cid:durableId="3A8A0383"/>
  <w16cid:commentId w16cid:paraId="65597DDE" w16cid:durableId="04B44AE7"/>
  <w16cid:commentId w16cid:paraId="70C35D19" w16cid:durableId="4AADF6E4"/>
  <w16cid:commentId w16cid:paraId="1E5582FC" w16cid:durableId="405C7A80"/>
  <w16cid:commentId w16cid:paraId="42DDBBFA" w16cid:durableId="4A6FB0B5"/>
  <w16cid:commentId w16cid:paraId="54CE3976" w16cid:durableId="10B57981"/>
  <w16cid:commentId w16cid:paraId="007CB8AD" w16cid:durableId="6E269C26"/>
  <w16cid:commentId w16cid:paraId="1FD48B92" w16cid:durableId="5BDB65E7"/>
  <w16cid:commentId w16cid:paraId="6CB424F2" w16cid:durableId="2C8324DB"/>
  <w16cid:commentId w16cid:paraId="795CC438" w16cid:durableId="40DCCF31"/>
  <w16cid:commentId w16cid:paraId="0CACBB17" w16cid:durableId="27E1DEFE"/>
  <w16cid:commentId w16cid:paraId="15E9834E" w16cid:durableId="7B66B428"/>
  <w16cid:commentId w16cid:paraId="45751FE8" w16cid:durableId="1BF01D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E9C5D" w14:textId="77777777" w:rsidR="001008AC" w:rsidRDefault="001008AC" w:rsidP="00365F82">
      <w:pPr>
        <w:spacing w:after="0" w:line="240" w:lineRule="auto"/>
      </w:pPr>
      <w:r>
        <w:separator/>
      </w:r>
    </w:p>
  </w:endnote>
  <w:endnote w:type="continuationSeparator" w:id="0">
    <w:p w14:paraId="100B561D" w14:textId="77777777" w:rsidR="001008AC" w:rsidRDefault="001008AC" w:rsidP="00365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1EA28" w14:textId="77777777" w:rsidR="002303A6" w:rsidRDefault="002303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231A4" w14:textId="77777777" w:rsidR="002303A6" w:rsidRDefault="002303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56E5E" w14:textId="77777777" w:rsidR="002303A6" w:rsidRDefault="00230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623DA" w14:textId="77777777" w:rsidR="001008AC" w:rsidRDefault="001008AC" w:rsidP="00365F82">
      <w:pPr>
        <w:spacing w:after="0" w:line="240" w:lineRule="auto"/>
      </w:pPr>
      <w:r>
        <w:separator/>
      </w:r>
    </w:p>
  </w:footnote>
  <w:footnote w:type="continuationSeparator" w:id="0">
    <w:p w14:paraId="04316B6B" w14:textId="77777777" w:rsidR="001008AC" w:rsidRDefault="001008AC" w:rsidP="00365F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31952" w14:textId="77777777" w:rsidR="002303A6" w:rsidRDefault="002303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324694"/>
      <w:docPartObj>
        <w:docPartGallery w:val="Watermarks"/>
        <w:docPartUnique/>
      </w:docPartObj>
    </w:sdtPr>
    <w:sdtEndPr/>
    <w:sdtContent>
      <w:p w14:paraId="24168445" w14:textId="77777777" w:rsidR="002303A6" w:rsidRDefault="0035400D">
        <w:pPr>
          <w:pStyle w:val="Header"/>
        </w:pPr>
        <w:r>
          <w:rPr>
            <w:noProof/>
          </w:rPr>
          <w:pict w14:anchorId="00E515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A6C3C" w14:textId="77777777" w:rsidR="002303A6" w:rsidRDefault="002303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F28C9"/>
    <w:multiLevelType w:val="multilevel"/>
    <w:tmpl w:val="9FA63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89F6DB8"/>
    <w:multiLevelType w:val="hybridMultilevel"/>
    <w:tmpl w:val="E2C8BAF2"/>
    <w:lvl w:ilvl="0" w:tplc="35F09E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789"/>
    <w:rsid w:val="0000542B"/>
    <w:rsid w:val="00017367"/>
    <w:rsid w:val="000547D1"/>
    <w:rsid w:val="00070BDF"/>
    <w:rsid w:val="000832BC"/>
    <w:rsid w:val="0008661D"/>
    <w:rsid w:val="000B22CA"/>
    <w:rsid w:val="000C780E"/>
    <w:rsid w:val="000D22F4"/>
    <w:rsid w:val="000D6D46"/>
    <w:rsid w:val="000E080D"/>
    <w:rsid w:val="000E261F"/>
    <w:rsid w:val="001008AC"/>
    <w:rsid w:val="0011049B"/>
    <w:rsid w:val="001168EC"/>
    <w:rsid w:val="0012353D"/>
    <w:rsid w:val="00146103"/>
    <w:rsid w:val="001518DA"/>
    <w:rsid w:val="0015439F"/>
    <w:rsid w:val="00160494"/>
    <w:rsid w:val="00173316"/>
    <w:rsid w:val="0019052E"/>
    <w:rsid w:val="001A467A"/>
    <w:rsid w:val="001B176F"/>
    <w:rsid w:val="001B7D55"/>
    <w:rsid w:val="001C651D"/>
    <w:rsid w:val="001C6DFA"/>
    <w:rsid w:val="00224489"/>
    <w:rsid w:val="002303A6"/>
    <w:rsid w:val="00242C0A"/>
    <w:rsid w:val="0024541A"/>
    <w:rsid w:val="0027403D"/>
    <w:rsid w:val="00277C65"/>
    <w:rsid w:val="002830A7"/>
    <w:rsid w:val="002A2BD2"/>
    <w:rsid w:val="002E1920"/>
    <w:rsid w:val="002E6F27"/>
    <w:rsid w:val="003017ED"/>
    <w:rsid w:val="003024A6"/>
    <w:rsid w:val="00314DA9"/>
    <w:rsid w:val="00342E24"/>
    <w:rsid w:val="0035357A"/>
    <w:rsid w:val="0035400D"/>
    <w:rsid w:val="00365F82"/>
    <w:rsid w:val="00380B34"/>
    <w:rsid w:val="003921D4"/>
    <w:rsid w:val="003B420D"/>
    <w:rsid w:val="003D5AC0"/>
    <w:rsid w:val="003F25B9"/>
    <w:rsid w:val="00405ABC"/>
    <w:rsid w:val="00422E5A"/>
    <w:rsid w:val="0044769F"/>
    <w:rsid w:val="00453A36"/>
    <w:rsid w:val="00467D53"/>
    <w:rsid w:val="00476637"/>
    <w:rsid w:val="0049143C"/>
    <w:rsid w:val="004941F9"/>
    <w:rsid w:val="004D6CE3"/>
    <w:rsid w:val="004E1E32"/>
    <w:rsid w:val="004E4E24"/>
    <w:rsid w:val="004F02F4"/>
    <w:rsid w:val="004F7D5A"/>
    <w:rsid w:val="004F7E8B"/>
    <w:rsid w:val="00515AA7"/>
    <w:rsid w:val="0056386C"/>
    <w:rsid w:val="00575A92"/>
    <w:rsid w:val="00585D27"/>
    <w:rsid w:val="005C3FBA"/>
    <w:rsid w:val="006162CC"/>
    <w:rsid w:val="006404CA"/>
    <w:rsid w:val="00643413"/>
    <w:rsid w:val="006A27AD"/>
    <w:rsid w:val="006A7F3E"/>
    <w:rsid w:val="006B2AAF"/>
    <w:rsid w:val="006B6D09"/>
    <w:rsid w:val="006C00B3"/>
    <w:rsid w:val="006E444B"/>
    <w:rsid w:val="006F1579"/>
    <w:rsid w:val="00705652"/>
    <w:rsid w:val="00712B84"/>
    <w:rsid w:val="0074007F"/>
    <w:rsid w:val="0075563E"/>
    <w:rsid w:val="007616B1"/>
    <w:rsid w:val="00764833"/>
    <w:rsid w:val="00771DE0"/>
    <w:rsid w:val="00776C95"/>
    <w:rsid w:val="007B2725"/>
    <w:rsid w:val="007B726E"/>
    <w:rsid w:val="007C614C"/>
    <w:rsid w:val="00804092"/>
    <w:rsid w:val="008053CD"/>
    <w:rsid w:val="0081502B"/>
    <w:rsid w:val="008500A7"/>
    <w:rsid w:val="00856626"/>
    <w:rsid w:val="00857C68"/>
    <w:rsid w:val="0087007F"/>
    <w:rsid w:val="00874C39"/>
    <w:rsid w:val="00876CE0"/>
    <w:rsid w:val="008839AA"/>
    <w:rsid w:val="008A10DB"/>
    <w:rsid w:val="008D3F28"/>
    <w:rsid w:val="008D4EB2"/>
    <w:rsid w:val="008D6170"/>
    <w:rsid w:val="008E463C"/>
    <w:rsid w:val="008E77BA"/>
    <w:rsid w:val="008F0D16"/>
    <w:rsid w:val="0091356F"/>
    <w:rsid w:val="00916A53"/>
    <w:rsid w:val="00935F81"/>
    <w:rsid w:val="0094440F"/>
    <w:rsid w:val="00962292"/>
    <w:rsid w:val="00970E90"/>
    <w:rsid w:val="009A1D4F"/>
    <w:rsid w:val="009A58E9"/>
    <w:rsid w:val="009A673A"/>
    <w:rsid w:val="009B0FC8"/>
    <w:rsid w:val="009B20E2"/>
    <w:rsid w:val="009B2A13"/>
    <w:rsid w:val="009C2AB4"/>
    <w:rsid w:val="009E2F47"/>
    <w:rsid w:val="009F1291"/>
    <w:rsid w:val="00A4208F"/>
    <w:rsid w:val="00A46533"/>
    <w:rsid w:val="00A552A9"/>
    <w:rsid w:val="00A60DFD"/>
    <w:rsid w:val="00A95886"/>
    <w:rsid w:val="00AA4F57"/>
    <w:rsid w:val="00AC1AA9"/>
    <w:rsid w:val="00AC7789"/>
    <w:rsid w:val="00AD6C61"/>
    <w:rsid w:val="00AE1E1F"/>
    <w:rsid w:val="00AE5412"/>
    <w:rsid w:val="00B37CEA"/>
    <w:rsid w:val="00B4341B"/>
    <w:rsid w:val="00B448FD"/>
    <w:rsid w:val="00B53F95"/>
    <w:rsid w:val="00B56E23"/>
    <w:rsid w:val="00B600E5"/>
    <w:rsid w:val="00B706D8"/>
    <w:rsid w:val="00B76A79"/>
    <w:rsid w:val="00B97C32"/>
    <w:rsid w:val="00BB0535"/>
    <w:rsid w:val="00BB1099"/>
    <w:rsid w:val="00BB363D"/>
    <w:rsid w:val="00BF5714"/>
    <w:rsid w:val="00BF74F8"/>
    <w:rsid w:val="00C11A9B"/>
    <w:rsid w:val="00C246F3"/>
    <w:rsid w:val="00C403CE"/>
    <w:rsid w:val="00C40DDD"/>
    <w:rsid w:val="00C4590F"/>
    <w:rsid w:val="00C55D29"/>
    <w:rsid w:val="00C6072C"/>
    <w:rsid w:val="00C610AF"/>
    <w:rsid w:val="00C67612"/>
    <w:rsid w:val="00C97011"/>
    <w:rsid w:val="00CB385C"/>
    <w:rsid w:val="00CB3AA1"/>
    <w:rsid w:val="00CF0022"/>
    <w:rsid w:val="00CF39A9"/>
    <w:rsid w:val="00D20493"/>
    <w:rsid w:val="00D4409B"/>
    <w:rsid w:val="00D61EFA"/>
    <w:rsid w:val="00D67909"/>
    <w:rsid w:val="00D842EF"/>
    <w:rsid w:val="00D919DA"/>
    <w:rsid w:val="00D94610"/>
    <w:rsid w:val="00DA00D2"/>
    <w:rsid w:val="00DB5897"/>
    <w:rsid w:val="00DB5D8B"/>
    <w:rsid w:val="00DF4540"/>
    <w:rsid w:val="00DF6DDF"/>
    <w:rsid w:val="00E2265D"/>
    <w:rsid w:val="00E26AC6"/>
    <w:rsid w:val="00E418F0"/>
    <w:rsid w:val="00E614F1"/>
    <w:rsid w:val="00E7270C"/>
    <w:rsid w:val="00E83AB7"/>
    <w:rsid w:val="00EA385C"/>
    <w:rsid w:val="00EB3B89"/>
    <w:rsid w:val="00EC2CD2"/>
    <w:rsid w:val="00EE7E70"/>
    <w:rsid w:val="00F0556B"/>
    <w:rsid w:val="00F150D1"/>
    <w:rsid w:val="00F80374"/>
    <w:rsid w:val="00F84D9F"/>
    <w:rsid w:val="00F931C3"/>
    <w:rsid w:val="00FB4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E66DB"/>
  <w15:chartTrackingRefBased/>
  <w15:docId w15:val="{33F936B7-2E14-41D5-A57E-45F1AA47F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C7789"/>
  </w:style>
  <w:style w:type="paragraph" w:styleId="BalloonText">
    <w:name w:val="Balloon Text"/>
    <w:basedOn w:val="Normal"/>
    <w:link w:val="BalloonTextChar"/>
    <w:uiPriority w:val="99"/>
    <w:semiHidden/>
    <w:unhideWhenUsed/>
    <w:rsid w:val="00224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489"/>
    <w:rPr>
      <w:rFonts w:ascii="Segoe UI" w:hAnsi="Segoe UI" w:cs="Segoe UI"/>
      <w:sz w:val="18"/>
      <w:szCs w:val="18"/>
    </w:rPr>
  </w:style>
  <w:style w:type="table" w:styleId="TableGrid">
    <w:name w:val="Table Grid"/>
    <w:basedOn w:val="TableNormal"/>
    <w:uiPriority w:val="39"/>
    <w:rsid w:val="00353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67A"/>
    <w:pPr>
      <w:ind w:left="720"/>
      <w:contextualSpacing/>
    </w:pPr>
  </w:style>
  <w:style w:type="paragraph" w:styleId="Header">
    <w:name w:val="header"/>
    <w:basedOn w:val="Normal"/>
    <w:link w:val="HeaderChar"/>
    <w:uiPriority w:val="99"/>
    <w:unhideWhenUsed/>
    <w:rsid w:val="00365F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F82"/>
  </w:style>
  <w:style w:type="paragraph" w:styleId="Footer">
    <w:name w:val="footer"/>
    <w:basedOn w:val="Normal"/>
    <w:link w:val="FooterChar"/>
    <w:uiPriority w:val="99"/>
    <w:unhideWhenUsed/>
    <w:rsid w:val="00365F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F82"/>
  </w:style>
  <w:style w:type="character" w:styleId="CommentReference">
    <w:name w:val="annotation reference"/>
    <w:basedOn w:val="DefaultParagraphFont"/>
    <w:uiPriority w:val="99"/>
    <w:semiHidden/>
    <w:unhideWhenUsed/>
    <w:rsid w:val="00FB4CE6"/>
    <w:rPr>
      <w:sz w:val="16"/>
      <w:szCs w:val="16"/>
    </w:rPr>
  </w:style>
  <w:style w:type="paragraph" w:styleId="CommentText">
    <w:name w:val="annotation text"/>
    <w:basedOn w:val="Normal"/>
    <w:link w:val="CommentTextChar"/>
    <w:uiPriority w:val="99"/>
    <w:unhideWhenUsed/>
    <w:rsid w:val="00FB4CE6"/>
    <w:pPr>
      <w:spacing w:line="240" w:lineRule="auto"/>
    </w:pPr>
    <w:rPr>
      <w:sz w:val="20"/>
      <w:szCs w:val="20"/>
    </w:rPr>
  </w:style>
  <w:style w:type="character" w:customStyle="1" w:styleId="CommentTextChar">
    <w:name w:val="Comment Text Char"/>
    <w:basedOn w:val="DefaultParagraphFont"/>
    <w:link w:val="CommentText"/>
    <w:uiPriority w:val="99"/>
    <w:rsid w:val="00FB4CE6"/>
    <w:rPr>
      <w:sz w:val="20"/>
      <w:szCs w:val="20"/>
    </w:rPr>
  </w:style>
  <w:style w:type="paragraph" w:styleId="CommentSubject">
    <w:name w:val="annotation subject"/>
    <w:basedOn w:val="CommentText"/>
    <w:next w:val="CommentText"/>
    <w:link w:val="CommentSubjectChar"/>
    <w:uiPriority w:val="99"/>
    <w:semiHidden/>
    <w:unhideWhenUsed/>
    <w:rsid w:val="00FB4CE6"/>
    <w:rPr>
      <w:b/>
      <w:bCs/>
    </w:rPr>
  </w:style>
  <w:style w:type="character" w:customStyle="1" w:styleId="CommentSubjectChar">
    <w:name w:val="Comment Subject Char"/>
    <w:basedOn w:val="CommentTextChar"/>
    <w:link w:val="CommentSubject"/>
    <w:uiPriority w:val="99"/>
    <w:semiHidden/>
    <w:rsid w:val="00FB4CE6"/>
    <w:rPr>
      <w:b/>
      <w:bCs/>
      <w:sz w:val="20"/>
      <w:szCs w:val="20"/>
    </w:rPr>
  </w:style>
  <w:style w:type="character" w:styleId="Hyperlink">
    <w:name w:val="Hyperlink"/>
    <w:basedOn w:val="DefaultParagraphFont"/>
    <w:uiPriority w:val="99"/>
    <w:unhideWhenUsed/>
    <w:rsid w:val="00F931C3"/>
    <w:rPr>
      <w:color w:val="0563C1" w:themeColor="hyperlink"/>
      <w:u w:val="single"/>
    </w:rPr>
  </w:style>
  <w:style w:type="character" w:customStyle="1" w:styleId="UnresolvedMention1">
    <w:name w:val="Unresolved Mention1"/>
    <w:basedOn w:val="DefaultParagraphFont"/>
    <w:uiPriority w:val="99"/>
    <w:semiHidden/>
    <w:unhideWhenUsed/>
    <w:rsid w:val="00F931C3"/>
    <w:rPr>
      <w:color w:val="605E5C"/>
      <w:shd w:val="clear" w:color="auto" w:fill="E1DFDD"/>
    </w:rPr>
  </w:style>
  <w:style w:type="paragraph" w:styleId="Revision">
    <w:name w:val="Revision"/>
    <w:hidden/>
    <w:uiPriority w:val="99"/>
    <w:semiHidden/>
    <w:rsid w:val="00F931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67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A36DA-3C54-4504-B37A-98890D414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Gardner</dc:creator>
  <cp:keywords/>
  <dc:description/>
  <cp:lastModifiedBy>Jason Gardner</cp:lastModifiedBy>
  <cp:revision>5</cp:revision>
  <cp:lastPrinted>2018-12-10T17:32:00Z</cp:lastPrinted>
  <dcterms:created xsi:type="dcterms:W3CDTF">2024-08-20T19:35:00Z</dcterms:created>
  <dcterms:modified xsi:type="dcterms:W3CDTF">2024-08-27T22:56:00Z</dcterms:modified>
</cp:coreProperties>
</file>